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bottom w:val="single" w:sz="12" w:space="4" w:color="A87B1F"/>
        </w:pBdr>
        <w:spacing w:after="200"/>
      </w:pPr>
      <w:r>
        <w:rPr>
          <w:b/>
          <w:color w:val="A87B1F"/>
          <w:sz w:val="16"/>
        </w:rPr>
        <w:t>REDACTED SAMPLE — EXCERPT 1 of 4 — Strategic Positioning  |  Client-identifying details removed. Analysis and reasoning are unchanged from the delivered engagement. Published with client permission.</w:t>
      </w:r>
    </w:p>
    <w:p>
      <w:pPr>
        <w:spacing w:after="40"/>
      </w:pPr>
      <w:r>
        <w:rPr>
          <w:b/>
          <w:color w:val="A87B1F"/>
          <w:sz w:val="18"/>
        </w:rPr>
        <w:t>FROM A FOUNDATION STRATEGIC PLAN</w:t>
      </w:r>
    </w:p>
    <w:p>
      <w:pPr>
        <w:pStyle w:val="Heading1"/>
        <w:spacing w:after="280"/>
      </w:pPr>
      <w:r>
        <w:rPr>
          <w:color w:val="16283C"/>
          <w:sz w:val="40"/>
        </w:rPr>
        <w:t>Market Opportunity &amp; Recommended Positioning</w:t>
      </w:r>
    </w:p>
    <w:p>
      <w:pPr>
        <w:spacing w:before="200" w:after="80"/>
      </w:pPr>
      <w:r>
        <w:rPr>
          <w:b/>
          <w:color w:val="16283C"/>
          <w:sz w:val="22"/>
        </w:rPr>
        <w:t>Market insight</w:t>
      </w:r>
    </w:p>
    <w:p>
      <w:pPr>
        <w:spacing w:after="160"/>
      </w:pPr>
      <w:r>
        <w:rPr>
          <w:color w:val="3D4A57"/>
          <w:sz w:val="21"/>
        </w:rPr>
        <w:t>Erie suburban homeowners aged 40-65 with $75K+ household income and a demonstrated interest in outdoor living (garden centers, HGTV, garden clubs) are underserved. Big-box retailers offer cheap, short-lived products; full contractors are overkill and overpriced for planters or garden beds; Etsy sellers are priced out of the local market by shipping costs; and the one direct local competitor (Facebook Marketplace seller) is inconsistent. This leaves a clear mid-tier vacancy: quality, custom-built, delivered-and-installed cedar work at a reasonable price point.</w:t>
      </w:r>
    </w:p>
    <w:p>
      <w:pPr>
        <w:spacing w:before="200" w:after="80"/>
      </w:pPr>
      <w:r>
        <w:rPr>
          <w:b/>
          <w:color w:val="16283C"/>
          <w:sz w:val="22"/>
        </w:rPr>
        <w:t>Most attractive segment</w:t>
      </w:r>
    </w:p>
    <w:p>
      <w:pPr>
        <w:spacing w:after="160"/>
      </w:pPr>
      <w:r>
        <w:rPr>
          <w:color w:val="3D4A57"/>
          <w:sz w:val="21"/>
        </w:rPr>
        <w:t>Empty-nester and pre-retirement homeowners with disposable income and time to invest in their outdoor space — this group values durability and craftsmanship over lowest price, and is likely to generate referrals within social and neighborhood networks (garden clubs, HGTV-watching, garden-center regulars).</w:t>
      </w:r>
    </w:p>
    <w:p>
      <w:pPr>
        <w:spacing w:before="200" w:after="80"/>
      </w:pPr>
      <w:r>
        <w:rPr>
          <w:b/>
          <w:color w:val="16283C"/>
          <w:sz w:val="22"/>
        </w:rPr>
        <w:t>Recommended positioning</w:t>
      </w:r>
    </w:p>
    <w:p>
      <w:pPr>
        <w:spacing w:after="160"/>
      </w:pPr>
      <w:r>
        <w:rPr>
          <w:color w:val="3D4A57"/>
          <w:sz w:val="21"/>
        </w:rPr>
        <w:t>“Custom-built, delivered, and installed cedar structures that last 15-20 years — built to your space, not off a shelf.” Lead with reliability and full-service convenience (measure, build, deliver, install — customer lifts nothing) as the primary differentiator, with the 15-20 year cedar lifespan as the value justification for premium pricing over big-box alternatives.</w:t>
      </w:r>
    </w:p>
    <w:p>
      <w:pPr>
        <w:spacing w:before="200" w:after="80"/>
      </w:pPr>
      <w:r>
        <w:rPr>
          <w:b/>
          <w:color w:val="16283C"/>
          <w:sz w:val="22"/>
        </w:rPr>
        <w:t>Strategy-driving insight</w:t>
      </w:r>
    </w:p>
    <w:p>
      <w:pPr>
        <w:spacing w:after="160"/>
      </w:pPr>
      <w:r>
        <w:rPr>
          <w:color w:val="3D4A57"/>
          <w:sz w:val="21"/>
        </w:rPr>
        <w:t>The 4-of-15 repeat customer rate from unpaid word-of-mouth work is the single most important data point in this plan. It suggests genuine product-market fit and implies that a formal referral/repeat program (not paid advertising) is likely the highest-ROI growth lever available, which aligns perfectly with █████████'s near-zero marketing budget and skill set.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