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12" w:space="4" w:color="A87B1F"/>
        </w:pBdr>
        <w:spacing w:after="200"/>
      </w:pPr>
      <w:r>
        <w:rPr>
          <w:b/>
          <w:color w:val="A87B1F"/>
          <w:sz w:val="16"/>
        </w:rPr>
        <w:t>REDACTED SAMPLE — EXCERPT 3 of 4 — Implementation Roadmap  |  Client-identifying details removed. Analysis and reasoning are unchanged from the delivered engagement. Published with client permission.</w:t>
      </w:r>
    </w:p>
    <w:p>
      <w:pPr>
        <w:spacing w:after="40"/>
      </w:pPr>
      <w:r>
        <w:rPr>
          <w:b/>
          <w:color w:val="A87B1F"/>
          <w:sz w:val="18"/>
        </w:rPr>
        <w:t>FROM A FOUNDATION STRATEGIC PLAN</w:t>
      </w:r>
    </w:p>
    <w:p>
      <w:pPr>
        <w:pStyle w:val="Heading1"/>
        <w:spacing w:after="280"/>
      </w:pPr>
      <w:r>
        <w:rPr>
          <w:color w:val="16283C"/>
          <w:sz w:val="40"/>
        </w:rPr>
        <w:t>30 / 60 / 90 Day Action Plan</w:t>
      </w:r>
    </w:p>
    <w:p>
      <w:pPr>
        <w:spacing w:before="200" w:after="80"/>
      </w:pPr>
      <w:r>
        <w:rPr>
          <w:b/>
          <w:color w:val="16283C"/>
          <w:sz w:val="22"/>
        </w:rPr>
        <w:t>Days 1–30: Foundation &amp; Validation</w:t>
      </w:r>
    </w:p>
    <w:p>
      <w:pPr>
        <w:pStyle w:val="ListBullet"/>
        <w:spacing w:after="80"/>
      </w:pPr>
      <w:r>
        <w:rPr>
          <w:color w:val="3D4A57"/>
          <w:sz w:val="21"/>
        </w:rPr>
        <w:t>Finalize written pricing/rate card across all three product tiers</w:t>
      </w:r>
    </w:p>
    <w:p>
      <w:pPr>
        <w:pStyle w:val="ListBullet"/>
        <w:spacing w:after="80"/>
      </w:pPr>
      <w:r>
        <w:rPr>
          <w:color w:val="3D4A57"/>
          <w:sz w:val="21"/>
        </w:rPr>
        <w:t>Set up basic business infrastructure (LLC/tax ID if not done, business bank account, simple invoicing)</w:t>
      </w:r>
    </w:p>
    <w:p>
      <w:pPr>
        <w:pStyle w:val="ListBullet"/>
        <w:spacing w:after="80"/>
      </w:pPr>
      <w:r>
        <w:rPr>
          <w:color w:val="3D4A57"/>
          <w:sz w:val="21"/>
        </w:rPr>
        <w:t>Create a Google Business Profile and one social channel; upload existing job photos</w:t>
      </w:r>
    </w:p>
    <w:p>
      <w:pPr>
        <w:pStyle w:val="ListBullet"/>
        <w:spacing w:after="80"/>
      </w:pPr>
      <w:r>
        <w:rPr>
          <w:color w:val="3D4A57"/>
          <w:sz w:val="21"/>
        </w:rPr>
        <w:t>Formalize the referral agreement with the local referral partner</w:t>
      </w:r>
    </w:p>
    <w:p>
      <w:pPr>
        <w:pStyle w:val="ListBullet"/>
        <w:spacing w:after="80"/>
      </w:pPr>
      <w:r>
        <w:rPr>
          <w:color w:val="3D4A57"/>
          <w:sz w:val="21"/>
        </w:rPr>
        <w:t>Reach out to repeat customers for testimonials and referrals</w:t>
      </w:r>
    </w:p>
    <w:p>
      <w:pPr>
        <w:pStyle w:val="ListBullet"/>
        <w:spacing w:after="80"/>
      </w:pPr>
      <w:r>
        <w:rPr>
          <w:color w:val="3D4A57"/>
          <w:sz w:val="21"/>
        </w:rPr>
        <w:t>Assess delivery options (truck purchase/rental/trailer) against the starting budget</w:t>
      </w:r>
    </w:p>
    <w:p>
      <w:pPr>
        <w:spacing w:before="200" w:after="80"/>
      </w:pPr>
      <w:r>
        <w:rPr>
          <w:b/>
          <w:color w:val="16283C"/>
          <w:sz w:val="22"/>
        </w:rPr>
        <w:t>Days 31–60: Traction &amp; Refinement</w:t>
      </w:r>
    </w:p>
    <w:p>
      <w:pPr>
        <w:pStyle w:val="ListBullet"/>
        <w:spacing w:after="80"/>
      </w:pPr>
      <w:r>
        <w:rPr>
          <w:color w:val="3D4A57"/>
          <w:sz w:val="21"/>
        </w:rPr>
        <w:t>Launch active in-season booking against a weekly jobs-in-pipeline target</w:t>
      </w:r>
    </w:p>
    <w:p>
      <w:pPr>
        <w:pStyle w:val="ListBullet"/>
        <w:spacing w:after="80"/>
      </w:pPr>
      <w:r>
        <w:rPr>
          <w:color w:val="3D4A57"/>
          <w:sz w:val="21"/>
        </w:rPr>
        <w:t>Begin systematic photo/video documentation of every job for portfolio and social content</w:t>
      </w:r>
    </w:p>
    <w:p>
      <w:pPr>
        <w:pStyle w:val="ListBullet"/>
        <w:spacing w:after="80"/>
      </w:pPr>
      <w:r>
        <w:rPr>
          <w:color w:val="3D4A57"/>
          <w:sz w:val="21"/>
        </w:rPr>
        <w:t>Track actual material costs and job time per unit to validate the cost ratio and refine pricing if needed</w:t>
      </w:r>
    </w:p>
    <w:p>
      <w:pPr>
        <w:pStyle w:val="ListBullet"/>
        <w:spacing w:after="80"/>
      </w:pPr>
      <w:r>
        <w:rPr>
          <w:color w:val="3D4A57"/>
          <w:sz w:val="21"/>
        </w:rPr>
        <w:t>Request reviews from every completed job</w:t>
      </w:r>
    </w:p>
    <w:p>
      <w:pPr>
        <w:pStyle w:val="ListBullet"/>
        <w:spacing w:after="80"/>
      </w:pPr>
      <w:r>
        <w:rPr>
          <w:color w:val="3D4A57"/>
          <w:sz w:val="21"/>
        </w:rPr>
        <w:t>Test one off-season/indoor product concept with a small prototype</w:t>
      </w:r>
    </w:p>
    <w:p>
      <w:pPr>
        <w:pStyle w:val="ListBullet"/>
        <w:spacing w:after="80"/>
      </w:pPr>
      <w:r>
        <w:rPr>
          <w:color w:val="3D4A57"/>
          <w:sz w:val="21"/>
        </w:rPr>
        <w:t>Monitor cash flow against the operating reserve target weekly</w:t>
      </w:r>
    </w:p>
    <w:p>
      <w:pPr>
        <w:spacing w:before="200" w:after="80"/>
      </w:pPr>
      <w:r>
        <w:rPr>
          <w:b/>
          <w:color w:val="16283C"/>
          <w:sz w:val="22"/>
        </w:rPr>
        <w:t>Days 61–90: Scale Preparation</w:t>
      </w:r>
    </w:p>
    <w:p>
      <w:pPr>
        <w:pStyle w:val="ListBullet"/>
        <w:spacing w:after="80"/>
      </w:pPr>
      <w:r>
        <w:rPr>
          <w:color w:val="3D4A57"/>
          <w:sz w:val="21"/>
        </w:rPr>
        <w:t>Evaluate whether current weekly capacity is sufficient for demand; identify if part-time help is needed</w:t>
      </w:r>
    </w:p>
    <w:p>
      <w:pPr>
        <w:pStyle w:val="ListBullet"/>
        <w:spacing w:after="80"/>
      </w:pPr>
      <w:r>
        <w:rPr>
          <w:color w:val="3D4A57"/>
          <w:sz w:val="21"/>
        </w:rPr>
        <w:t>Finalize a delivery/logistics solution if not already resolved</w:t>
      </w:r>
    </w:p>
    <w:p>
      <w:pPr>
        <w:pStyle w:val="ListBullet"/>
        <w:spacing w:after="80"/>
      </w:pPr>
      <w:r>
        <w:rPr>
          <w:color w:val="3D4A57"/>
          <w:sz w:val="21"/>
        </w:rPr>
        <w:t>Build a simple pre-booking/deposit system for next season’s early slots</w:t>
      </w:r>
    </w:p>
    <w:p>
      <w:pPr>
        <w:pStyle w:val="ListBullet"/>
        <w:spacing w:after="80"/>
      </w:pPr>
      <w:r>
        <w:rPr>
          <w:color w:val="3D4A57"/>
          <w:sz w:val="21"/>
        </w:rPr>
        <w:t>Analyze actuals against the financial model; adjust Year 1 forecast assumptions if volume is over or under plan</w:t>
      </w:r>
    </w:p>
    <w:p>
      <w:pPr>
        <w:pStyle w:val="ListBullet"/>
        <w:spacing w:after="80"/>
      </w:pPr>
      <w:r>
        <w:rPr>
          <w:color w:val="3D4A57"/>
          <w:sz w:val="21"/>
        </w:rPr>
        <w:t>Decide go/no-go on a winter product line based on the Days 31–60 test results</w:t>
      </w:r>
    </w:p>
    <w:p>
      <w:pPr>
        <w:pStyle w:val="ListBullet"/>
        <w:spacing w:after="80"/>
      </w:pPr>
      <w:r>
        <w:rPr>
          <w:color w:val="3D4A57"/>
          <w:sz w:val="21"/>
        </w:rPr>
        <w:t>Set explicit milestone criteria for revisiting the day-job decision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