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bottom w:val="single" w:sz="12" w:space="4" w:color="A87B1F"/>
        </w:pBdr>
        <w:spacing w:after="200"/>
      </w:pPr>
      <w:r>
        <w:rPr>
          <w:b/>
          <w:color w:val="A87B1F"/>
          <w:sz w:val="16"/>
        </w:rPr>
        <w:t>REDACTED SAMPLE — EXCERPT 4 of 4 — Strategic Priorities  |  Client-identifying details removed. Analysis and reasoning are unchanged from the delivered engagement. Published with client permission.</w:t>
      </w:r>
    </w:p>
    <w:p>
      <w:pPr>
        <w:spacing w:after="40"/>
      </w:pPr>
      <w:r>
        <w:rPr>
          <w:b/>
          <w:color w:val="A87B1F"/>
          <w:sz w:val="18"/>
        </w:rPr>
        <w:t>FROM A FOUNDATION STRATEGIC PLAN</w:t>
      </w:r>
    </w:p>
    <w:p>
      <w:pPr>
        <w:pStyle w:val="Heading1"/>
        <w:spacing w:after="280"/>
      </w:pPr>
      <w:r>
        <w:rPr>
          <w:color w:val="16283C"/>
          <w:sz w:val="40"/>
        </w:rPr>
        <w:t>Strategic Priorities — Next 12 Months</w:t>
      </w:r>
    </w:p>
    <w:p>
      <w:pPr>
        <w:spacing w:before="200" w:after="80"/>
      </w:pPr>
      <w:r>
        <w:rPr>
          <w:b/>
          <w:color w:val="16283C"/>
          <w:sz w:val="22"/>
        </w:rPr>
        <w:t>1. Formalize pricing and packaging</w:t>
      </w:r>
    </w:p>
    <w:p>
      <w:pPr>
        <w:spacing w:after="160"/>
      </w:pPr>
      <w:r>
        <w:rPr>
          <w:color w:val="3D4A57"/>
          <w:sz w:val="21"/>
        </w:rPr>
        <w:t>Move from ad hoc, word-of-mouth pricing to a written rate card across all three product tiers. This protects margin as volume grows and makes the offer easy to refer.</w:t>
      </w:r>
    </w:p>
    <w:p>
      <w:pPr>
        <w:spacing w:before="200" w:after="80"/>
      </w:pPr>
      <w:r>
        <w:rPr>
          <w:b/>
          <w:color w:val="16283C"/>
          <w:sz w:val="22"/>
        </w:rPr>
        <w:t>2. Build a referral-and-portfolio growth engine</w:t>
      </w:r>
    </w:p>
    <w:p>
      <w:pPr>
        <w:spacing w:after="160"/>
      </w:pPr>
      <w:r>
        <w:rPr>
          <w:color w:val="3D4A57"/>
          <w:sz w:val="21"/>
        </w:rPr>
        <w:t>The repeat-customer rate is the strongest signal in this plan. A structured referral ask, paired with systematic photo/video documentation of every job, converts word-of-mouth into a repeatable channel — without a marketing budget.</w:t>
      </w:r>
    </w:p>
    <w:p>
      <w:pPr>
        <w:spacing w:before="200" w:after="80"/>
      </w:pPr>
      <w:r>
        <w:rPr>
          <w:b/>
          <w:color w:val="16283C"/>
          <w:sz w:val="22"/>
        </w:rPr>
        <w:t>3. Hit seasonal volume targets</w:t>
      </w:r>
    </w:p>
    <w:p>
      <w:pPr>
        <w:spacing w:after="160"/>
      </w:pPr>
      <w:r>
        <w:rPr>
          <w:color w:val="3D4A57"/>
          <w:sz w:val="21"/>
        </w:rPr>
        <w:t>Set an explicit weekly jobs-in-season target and track actuals against it monthly, rather than judging the season only in hindsight.</w:t>
      </w:r>
    </w:p>
    <w:p>
      <w:pPr>
        <w:spacing w:before="200" w:after="80"/>
      </w:pPr>
      <w:r>
        <w:rPr>
          <w:b/>
          <w:color w:val="16283C"/>
          <w:sz w:val="22"/>
        </w:rPr>
        <w:t>4. Solve the logistics/delivery gap</w:t>
      </w:r>
    </w:p>
    <w:p>
      <w:pPr>
        <w:spacing w:after="160"/>
      </w:pPr>
      <w:r>
        <w:rPr>
          <w:color w:val="3D4A57"/>
          <w:sz w:val="21"/>
        </w:rPr>
        <w:t>Delivery and installation are the core of the positioning promise. A dependency on a borrowed vehicle is a single point of failure worth resolving early, not in Year 2.</w:t>
      </w:r>
    </w:p>
    <w:p>
      <w:pPr>
        <w:spacing w:before="200" w:after="80"/>
      </w:pPr>
      <w:r>
        <w:rPr>
          <w:b/>
          <w:color w:val="16283C"/>
          <w:sz w:val="22"/>
        </w:rPr>
        <w:t>5. Build toward off-season revenue and cash resilience</w:t>
      </w:r>
    </w:p>
    <w:p>
      <w:pPr>
        <w:spacing w:after="160"/>
      </w:pPr>
      <w:r>
        <w:rPr>
          <w:color w:val="3D4A57"/>
          <w:sz w:val="21"/>
        </w:rPr>
        <w:t>The November–March shutdown is the single largest risk in this model. Testing a winter-viable product or a pre-booking system now — not next winter — turns a known seasonal cliff into a planned transition.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