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bottom w:val="single" w:sz="12" w:space="4" w:color="A87B1F"/>
        </w:pBdr>
        <w:spacing w:after="200"/>
      </w:pPr>
      <w:r>
        <w:rPr>
          <w:b/>
          <w:color w:val="A87B1F"/>
          <w:sz w:val="16"/>
        </w:rPr>
        <w:t>REDACTED SAMPLE — EXCERPT 5 of 6 — Financial Reality Check  |  Client-identifying details removed. Analysis and reasoning are unchanged from the delivered engagement. Published with client permission.</w:t>
      </w:r>
    </w:p>
    <w:p>
      <w:pPr>
        <w:spacing w:after="40"/>
      </w:pPr>
      <w:r>
        <w:rPr>
          <w:b/>
          <w:color w:val="A87B1F"/>
          <w:sz w:val="18"/>
        </w:rPr>
        <w:t>FROM THE FINANCIAL PROJECTIONS</w:t>
      </w:r>
    </w:p>
    <w:p>
      <w:pPr>
        <w:pStyle w:val="Heading1"/>
        <w:spacing w:after="280"/>
      </w:pPr>
      <w:r>
        <w:rPr>
          <w:color w:val="16283C"/>
          <w:sz w:val="40"/>
        </w:rPr>
        <w:t>Cash &amp; Unit Economics Notes</w:t>
      </w:r>
    </w:p>
    <w:p>
      <w:pPr>
        <w:spacing w:before="200" w:after="80"/>
      </w:pPr>
      <w:r>
        <w:rPr>
          <w:b/>
          <w:color w:val="16283C"/>
          <w:sz w:val="22"/>
        </w:rPr>
        <w:t>Unit economics</w:t>
      </w:r>
    </w:p>
    <w:p>
      <w:pPr>
        <w:spacing w:after="160"/>
      </w:pPr>
      <w:r>
        <w:rPr>
          <w:color w:val="3D4A57"/>
          <w:sz w:val="21"/>
        </w:rPr>
        <w:t>Each job generates $60 gross profit after materials costs. The model assumes materials cost scales directly with volume and drops to zero during the off-season.</w:t>
      </w:r>
    </w:p>
    <w:p>
      <w:pPr>
        <w:spacing w:before="200" w:after="80"/>
      </w:pPr>
      <w:r>
        <w:rPr>
          <w:b/>
          <w:color w:val="16283C"/>
          <w:sz w:val="22"/>
        </w:rPr>
        <w:t>The reserve gap</w:t>
      </w:r>
    </w:p>
    <w:p>
      <w:pPr>
        <w:spacing w:after="160"/>
      </w:pPr>
      <w:r>
        <w:rPr>
          <w:color w:val="3D4A57"/>
          <w:sz w:val="21"/>
        </w:rPr>
        <w:t>The required operating reserve of $11,850 exceeds the client's stated upfront investment capacity of approximately $5,000. This creates a funding gap that must be addressed before launch or through phased inventory buildup.</w:t>
      </w:r>
    </w:p>
    <w:p>
      <w:pPr>
        <w:spacing w:before="200" w:after="80"/>
      </w:pPr>
      <w:r>
        <w:rPr>
          <w:b/>
          <w:color w:val="16283C"/>
          <w:sz w:val="22"/>
        </w:rPr>
        <w:t>Owner draw</w:t>
      </w:r>
    </w:p>
    <w:p>
      <w:pPr>
        <w:spacing w:after="160"/>
      </w:pPr>
      <w:r>
        <w:rPr>
          <w:color w:val="3D4A57"/>
          <w:sz w:val="21"/>
        </w:rPr>
        <w:t>At peak Month 12 volume, owner draw is $1,570 per month. The canonical model indicates this target is reached beyond month 36, implying early years require personal subsidy or deferred compensation to cover the reserve gap and off-season burn.</w:t>
      </w:r>
    </w:p>
    <w:p>
      <w:pPr>
        <w:spacing w:before="200" w:after="80"/>
      </w:pPr>
      <w:r>
        <w:rPr>
          <w:b/>
          <w:color w:val="16283C"/>
          <w:sz w:val="22"/>
        </w:rPr>
        <w:t>Seasonality impact</w:t>
      </w:r>
    </w:p>
    <w:p>
      <w:pPr>
        <w:spacing w:after="160"/>
      </w:pPr>
      <w:r>
        <w:rPr>
          <w:color w:val="3D4A57"/>
          <w:sz w:val="21"/>
        </w:rPr>
        <w:t>Cash flow must be accumulated during the seven-month active season to fully fund the five-month shutdown period without disrupting fixed obligations or marketing continuity.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